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5" w:rsidRDefault="007721B5" w:rsidP="00356A36">
      <w:pPr>
        <w:autoSpaceDE w:val="0"/>
        <w:autoSpaceDN w:val="0"/>
        <w:spacing w:line="600" w:lineRule="exact"/>
        <w:jc w:val="center"/>
        <w:outlineLvl w:val="0"/>
        <w:rPr>
          <w:rFonts w:ascii="標楷體" w:eastAsia="標楷體" w:hAnsi="標楷體" w:cs="Arial"/>
          <w:b/>
          <w:color w:val="000000"/>
          <w:sz w:val="40"/>
          <w:szCs w:val="40"/>
        </w:rPr>
      </w:pPr>
      <w:bookmarkStart w:id="0" w:name="_Toc301446358"/>
      <w:bookmarkStart w:id="1" w:name="_Toc301870880"/>
      <w:bookmarkStart w:id="2" w:name="_Toc306369456"/>
      <w:r w:rsidRPr="00356A36">
        <w:rPr>
          <w:rFonts w:ascii="標楷體" w:eastAsia="標楷體" w:hAnsi="標楷體" w:cs="Arial"/>
          <w:b/>
          <w:color w:val="000000"/>
          <w:sz w:val="40"/>
          <w:szCs w:val="40"/>
        </w:rPr>
        <w:t>聖約翰科技大學</w:t>
      </w:r>
      <w:r>
        <w:rPr>
          <w:rFonts w:ascii="標楷體" w:eastAsia="標楷體" w:hAnsi="標楷體" w:cs="Arial" w:hint="eastAsia"/>
          <w:b/>
          <w:color w:val="000000"/>
          <w:sz w:val="40"/>
          <w:szCs w:val="40"/>
        </w:rPr>
        <w:t>民生與設計</w:t>
      </w:r>
      <w:r w:rsidRPr="00356A36">
        <w:rPr>
          <w:rFonts w:ascii="標楷體" w:eastAsia="標楷體" w:hAnsi="標楷體" w:cs="Arial"/>
          <w:b/>
          <w:color w:val="000000"/>
          <w:sz w:val="40"/>
          <w:szCs w:val="40"/>
        </w:rPr>
        <w:t>學院</w:t>
      </w:r>
    </w:p>
    <w:p w:rsidR="00356A36" w:rsidRPr="00356A36" w:rsidRDefault="007721B5" w:rsidP="00356A36">
      <w:pPr>
        <w:autoSpaceDE w:val="0"/>
        <w:autoSpaceDN w:val="0"/>
        <w:spacing w:line="600" w:lineRule="exact"/>
        <w:jc w:val="center"/>
        <w:outlineLvl w:val="0"/>
        <w:rPr>
          <w:rFonts w:ascii="標楷體" w:eastAsia="標楷體" w:hAnsi="標楷體" w:cs="Arial"/>
          <w:b/>
          <w:color w:val="000000"/>
          <w:sz w:val="40"/>
          <w:szCs w:val="40"/>
        </w:rPr>
      </w:pPr>
      <w:r w:rsidRPr="00356A36">
        <w:rPr>
          <w:rFonts w:ascii="標楷體" w:eastAsia="標楷體" w:hAnsi="標楷體" w:cs="Arial"/>
          <w:b/>
          <w:color w:val="000000"/>
          <w:sz w:val="40"/>
          <w:szCs w:val="40"/>
        </w:rPr>
        <w:t>休閒運動與</w:t>
      </w:r>
      <w:r w:rsidR="00D80DD3">
        <w:rPr>
          <w:rFonts w:ascii="標楷體" w:eastAsia="標楷體" w:hAnsi="標楷體" w:cs="Arial" w:hint="eastAsia"/>
          <w:b/>
          <w:color w:val="000000"/>
          <w:sz w:val="40"/>
          <w:szCs w:val="40"/>
        </w:rPr>
        <w:t>觀光</w:t>
      </w:r>
      <w:r w:rsidRPr="00356A36">
        <w:rPr>
          <w:rFonts w:ascii="標楷體" w:eastAsia="標楷體" w:hAnsi="標楷體" w:cs="Arial"/>
          <w:b/>
          <w:color w:val="000000"/>
          <w:sz w:val="40"/>
          <w:szCs w:val="40"/>
        </w:rPr>
        <w:t>管理系</w:t>
      </w:r>
      <w:bookmarkStart w:id="3" w:name="_Toc301446359"/>
      <w:bookmarkStart w:id="4" w:name="_Toc301870881"/>
      <w:bookmarkEnd w:id="0"/>
      <w:bookmarkEnd w:id="1"/>
      <w:r>
        <w:rPr>
          <w:rFonts w:ascii="標楷體" w:eastAsia="標楷體" w:hAnsi="標楷體" w:cs="Arial" w:hint="eastAsia"/>
          <w:b/>
          <w:color w:val="000000"/>
          <w:sz w:val="40"/>
          <w:szCs w:val="40"/>
        </w:rPr>
        <w:t xml:space="preserve"> </w:t>
      </w:r>
      <w:r w:rsidRPr="00356A36">
        <w:rPr>
          <w:rFonts w:ascii="標楷體" w:eastAsia="標楷體" w:hAnsi="標楷體" w:cs="Arial"/>
          <w:b/>
          <w:color w:val="000000"/>
          <w:sz w:val="40"/>
          <w:szCs w:val="40"/>
        </w:rPr>
        <w:t>教育目標</w:t>
      </w:r>
      <w:r w:rsidRPr="00356A36">
        <w:rPr>
          <w:rFonts w:ascii="標楷體" w:eastAsia="標楷體" w:hAnsi="標楷體" w:cs="Arial" w:hint="eastAsia"/>
          <w:b/>
          <w:color w:val="000000"/>
          <w:sz w:val="40"/>
          <w:szCs w:val="40"/>
        </w:rPr>
        <w:t>與</w:t>
      </w:r>
      <w:r w:rsidRPr="00356A36">
        <w:rPr>
          <w:rFonts w:ascii="標楷體" w:eastAsia="標楷體" w:hAnsi="標楷體" w:cs="Arial"/>
          <w:b/>
          <w:color w:val="000000"/>
          <w:sz w:val="40"/>
          <w:szCs w:val="40"/>
        </w:rPr>
        <w:t>核心能力</w:t>
      </w:r>
      <w:bookmarkEnd w:id="2"/>
      <w:bookmarkEnd w:id="3"/>
      <w:bookmarkEnd w:id="4"/>
    </w:p>
    <w:p w:rsidR="00356A36" w:rsidRPr="00356A36" w:rsidRDefault="00356A36" w:rsidP="00356A36">
      <w:pPr>
        <w:autoSpaceDE w:val="0"/>
        <w:autoSpaceDN w:val="0"/>
        <w:snapToGrid w:val="0"/>
        <w:spacing w:line="0" w:lineRule="atLeast"/>
        <w:jc w:val="right"/>
        <w:rPr>
          <w:rFonts w:ascii="標楷體" w:eastAsia="標楷體" w:hAnsi="標楷體" w:cs="Arial"/>
          <w:color w:val="000000"/>
          <w:sz w:val="20"/>
        </w:rPr>
      </w:pPr>
    </w:p>
    <w:p w:rsidR="00356A36" w:rsidRPr="00356A36" w:rsidRDefault="00356A36" w:rsidP="00356A36">
      <w:pPr>
        <w:autoSpaceDE w:val="0"/>
        <w:autoSpaceDN w:val="0"/>
        <w:snapToGrid w:val="0"/>
        <w:spacing w:line="0" w:lineRule="atLeast"/>
        <w:jc w:val="right"/>
        <w:rPr>
          <w:rFonts w:ascii="標楷體" w:eastAsia="標楷體" w:hAnsi="標楷體" w:cs="Arial"/>
          <w:color w:val="000000"/>
          <w:sz w:val="20"/>
        </w:rPr>
      </w:pPr>
    </w:p>
    <w:p w:rsidR="00356A36" w:rsidRPr="00356A36" w:rsidRDefault="00D80DD3" w:rsidP="00356A36">
      <w:pPr>
        <w:autoSpaceDE w:val="0"/>
        <w:autoSpaceDN w:val="0"/>
        <w:snapToGrid w:val="0"/>
        <w:spacing w:line="240" w:lineRule="exact"/>
        <w:jc w:val="right"/>
        <w:rPr>
          <w:rFonts w:ascii="標楷體" w:eastAsia="標楷體" w:hAnsi="標楷體" w:cs="Arial"/>
          <w:color w:val="000000"/>
          <w:sz w:val="20"/>
        </w:rPr>
      </w:pPr>
      <w:r>
        <w:rPr>
          <w:rFonts w:ascii="標楷體" w:eastAsia="標楷體" w:hAnsi="標楷體" w:cs="Arial" w:hint="eastAsia"/>
          <w:color w:val="000000"/>
          <w:sz w:val="20"/>
        </w:rPr>
        <w:t>1</w:t>
      </w:r>
      <w:r>
        <w:rPr>
          <w:rFonts w:ascii="標楷體" w:eastAsia="標楷體" w:hAnsi="標楷體" w:cs="Arial"/>
          <w:color w:val="000000"/>
          <w:sz w:val="20"/>
        </w:rPr>
        <w:t>10</w:t>
      </w:r>
      <w:r w:rsidR="00356A36" w:rsidRPr="00356A36">
        <w:rPr>
          <w:rFonts w:ascii="標楷體" w:eastAsia="標楷體" w:hAnsi="標楷體" w:cs="Arial"/>
          <w:color w:val="000000"/>
          <w:sz w:val="20"/>
        </w:rPr>
        <w:t>學年度第</w:t>
      </w:r>
      <w:r>
        <w:rPr>
          <w:rFonts w:ascii="標楷體" w:eastAsia="標楷體" w:hAnsi="標楷體" w:cs="Arial" w:hint="eastAsia"/>
          <w:color w:val="000000"/>
          <w:sz w:val="20"/>
        </w:rPr>
        <w:t>1</w:t>
      </w:r>
      <w:r w:rsidR="00356A36" w:rsidRPr="00356A36">
        <w:rPr>
          <w:rFonts w:ascii="標楷體" w:eastAsia="標楷體" w:hAnsi="標楷體" w:cs="Arial"/>
          <w:color w:val="000000"/>
          <w:sz w:val="20"/>
        </w:rPr>
        <w:t>學期第(</w:t>
      </w:r>
      <w:r>
        <w:rPr>
          <w:rFonts w:ascii="標楷體" w:eastAsia="標楷體" w:hAnsi="標楷體" w:cs="Arial"/>
          <w:color w:val="000000"/>
          <w:sz w:val="20"/>
        </w:rPr>
        <w:t>2</w:t>
      </w:r>
      <w:r w:rsidR="00356A36" w:rsidRPr="00356A36">
        <w:rPr>
          <w:rFonts w:ascii="標楷體" w:eastAsia="標楷體" w:hAnsi="標楷體" w:cs="Arial"/>
          <w:color w:val="000000"/>
          <w:sz w:val="20"/>
        </w:rPr>
        <w:t>)次(</w:t>
      </w:r>
      <w:r>
        <w:rPr>
          <w:rFonts w:ascii="標楷體" w:eastAsia="標楷體" w:hAnsi="標楷體" w:cs="Arial"/>
          <w:color w:val="000000"/>
          <w:sz w:val="20"/>
        </w:rPr>
        <w:t>110</w:t>
      </w:r>
      <w:r w:rsidR="00356A36" w:rsidRPr="00356A36">
        <w:rPr>
          <w:rFonts w:ascii="標楷體" w:eastAsia="標楷體" w:hAnsi="標楷體" w:cs="Arial"/>
          <w:color w:val="000000"/>
          <w:sz w:val="20"/>
        </w:rPr>
        <w:t>.</w:t>
      </w:r>
      <w:r>
        <w:rPr>
          <w:rFonts w:ascii="標楷體" w:eastAsia="標楷體" w:hAnsi="標楷體" w:cs="Arial"/>
          <w:color w:val="000000"/>
          <w:sz w:val="20"/>
        </w:rPr>
        <w:t>10</w:t>
      </w:r>
      <w:r w:rsidR="00356A36" w:rsidRPr="00356A36">
        <w:rPr>
          <w:rFonts w:ascii="標楷體" w:eastAsia="標楷體" w:hAnsi="標楷體" w:cs="Arial"/>
          <w:color w:val="000000"/>
          <w:sz w:val="20"/>
        </w:rPr>
        <w:t>.28)</w:t>
      </w:r>
      <w:r>
        <w:rPr>
          <w:rFonts w:ascii="標楷體" w:eastAsia="標楷體" w:hAnsi="標楷體" w:cs="Arial" w:hint="eastAsia"/>
          <w:color w:val="000000"/>
          <w:sz w:val="20"/>
        </w:rPr>
        <w:t>系務</w:t>
      </w:r>
      <w:r w:rsidR="00356A36" w:rsidRPr="00356A36">
        <w:rPr>
          <w:rFonts w:ascii="標楷體" w:eastAsia="標楷體" w:hAnsi="標楷體" w:cs="Arial"/>
          <w:color w:val="000000"/>
          <w:sz w:val="20"/>
        </w:rPr>
        <w:t>會議通過</w:t>
      </w:r>
    </w:p>
    <w:p w:rsidR="00356A36" w:rsidRPr="00356A36" w:rsidRDefault="00D80DD3" w:rsidP="00356A36">
      <w:pPr>
        <w:autoSpaceDE w:val="0"/>
        <w:autoSpaceDN w:val="0"/>
        <w:snapToGrid w:val="0"/>
        <w:spacing w:line="240" w:lineRule="exact"/>
        <w:jc w:val="right"/>
        <w:rPr>
          <w:rFonts w:ascii="標楷體" w:eastAsia="標楷體" w:hAnsi="標楷體" w:cs="Arial"/>
          <w:color w:val="000000"/>
          <w:sz w:val="20"/>
        </w:rPr>
      </w:pPr>
      <w:r>
        <w:rPr>
          <w:rFonts w:ascii="標楷體" w:eastAsia="標楷體" w:hAnsi="標楷體" w:cs="Arial" w:hint="eastAsia"/>
          <w:color w:val="000000"/>
          <w:sz w:val="20"/>
        </w:rPr>
        <w:t>1</w:t>
      </w:r>
      <w:r>
        <w:rPr>
          <w:rFonts w:ascii="標楷體" w:eastAsia="標楷體" w:hAnsi="標楷體" w:cs="Arial"/>
          <w:color w:val="000000"/>
          <w:sz w:val="20"/>
        </w:rPr>
        <w:t>10</w:t>
      </w:r>
      <w:r w:rsidR="00356A36" w:rsidRPr="00356A36">
        <w:rPr>
          <w:rFonts w:ascii="標楷體" w:eastAsia="標楷體" w:hAnsi="標楷體" w:cs="Arial"/>
          <w:color w:val="000000"/>
          <w:sz w:val="20"/>
        </w:rPr>
        <w:t>學年度第2學期第(</w:t>
      </w:r>
      <w:r>
        <w:rPr>
          <w:rFonts w:ascii="標楷體" w:eastAsia="標楷體" w:hAnsi="標楷體" w:cs="Arial"/>
          <w:color w:val="000000"/>
          <w:sz w:val="20"/>
        </w:rPr>
        <w:t>1</w:t>
      </w:r>
      <w:r w:rsidR="00356A36" w:rsidRPr="00356A36">
        <w:rPr>
          <w:rFonts w:ascii="標楷體" w:eastAsia="標楷體" w:hAnsi="標楷體" w:cs="Arial"/>
          <w:color w:val="000000"/>
          <w:sz w:val="20"/>
        </w:rPr>
        <w:t>)次(1</w:t>
      </w:r>
      <w:r>
        <w:rPr>
          <w:rFonts w:ascii="標楷體" w:eastAsia="標楷體" w:hAnsi="標楷體" w:cs="Arial"/>
          <w:color w:val="000000"/>
          <w:sz w:val="20"/>
        </w:rPr>
        <w:t>1</w:t>
      </w:r>
      <w:r w:rsidR="00434782">
        <w:rPr>
          <w:rFonts w:ascii="標楷體" w:eastAsia="標楷體" w:hAnsi="標楷體" w:cs="Arial"/>
          <w:color w:val="000000"/>
          <w:sz w:val="20"/>
        </w:rPr>
        <w:t>1</w:t>
      </w:r>
      <w:r w:rsidR="00356A36" w:rsidRPr="00356A36">
        <w:rPr>
          <w:rFonts w:ascii="標楷體" w:eastAsia="標楷體" w:hAnsi="標楷體" w:cs="Arial"/>
          <w:color w:val="000000"/>
          <w:sz w:val="20"/>
        </w:rPr>
        <w:t>.0</w:t>
      </w:r>
      <w:r>
        <w:rPr>
          <w:rFonts w:ascii="標楷體" w:eastAsia="標楷體" w:hAnsi="標楷體" w:cs="Arial"/>
          <w:color w:val="000000"/>
          <w:sz w:val="20"/>
        </w:rPr>
        <w:t>4</w:t>
      </w:r>
      <w:r w:rsidR="00356A36" w:rsidRPr="00356A36">
        <w:rPr>
          <w:rFonts w:ascii="標楷體" w:eastAsia="標楷體" w:hAnsi="標楷體" w:cs="Arial"/>
          <w:color w:val="000000"/>
          <w:sz w:val="20"/>
        </w:rPr>
        <w:t>.</w:t>
      </w:r>
      <w:r>
        <w:rPr>
          <w:rFonts w:ascii="標楷體" w:eastAsia="標楷體" w:hAnsi="標楷體" w:cs="Arial"/>
          <w:color w:val="000000"/>
          <w:sz w:val="20"/>
        </w:rPr>
        <w:t>22</w:t>
      </w:r>
      <w:r w:rsidR="00356A36" w:rsidRPr="00356A36">
        <w:rPr>
          <w:rFonts w:ascii="標楷體" w:eastAsia="標楷體" w:hAnsi="標楷體" w:cs="Arial"/>
          <w:color w:val="000000"/>
          <w:sz w:val="20"/>
        </w:rPr>
        <w:t>)</w:t>
      </w:r>
      <w:r w:rsidR="00A4150A">
        <w:rPr>
          <w:rFonts w:ascii="標楷體" w:eastAsia="標楷體" w:hAnsi="標楷體" w:cs="Arial" w:hint="eastAsia"/>
          <w:color w:val="000000"/>
          <w:sz w:val="20"/>
        </w:rPr>
        <w:t>院</w:t>
      </w:r>
      <w:bookmarkStart w:id="5" w:name="_GoBack"/>
      <w:bookmarkEnd w:id="5"/>
      <w:r w:rsidR="00356A36" w:rsidRPr="00356A36">
        <w:rPr>
          <w:rFonts w:ascii="標楷體" w:eastAsia="標楷體" w:hAnsi="標楷體" w:cs="Arial"/>
          <w:color w:val="000000"/>
          <w:sz w:val="20"/>
        </w:rPr>
        <w:t>務會議通過</w:t>
      </w:r>
    </w:p>
    <w:p w:rsidR="00356A36" w:rsidRPr="00356A36" w:rsidRDefault="00356A36" w:rsidP="00BD73C5">
      <w:pPr>
        <w:autoSpaceDE w:val="0"/>
        <w:autoSpaceDN w:val="0"/>
        <w:snapToGrid w:val="0"/>
        <w:spacing w:line="240" w:lineRule="exact"/>
        <w:ind w:leftChars="-64" w:hangingChars="77" w:hanging="154"/>
        <w:jc w:val="right"/>
        <w:rPr>
          <w:rFonts w:ascii="標楷體" w:eastAsia="標楷體" w:hAnsi="標楷體" w:cs="Arial"/>
          <w:color w:val="000000"/>
          <w:sz w:val="20"/>
        </w:rPr>
      </w:pPr>
      <w:r w:rsidRPr="00356A36">
        <w:rPr>
          <w:rFonts w:ascii="標楷體" w:eastAsia="標楷體" w:hAnsi="標楷體" w:cs="Arial" w:hint="eastAsia"/>
          <w:color w:val="000000"/>
          <w:sz w:val="20"/>
        </w:rPr>
        <w:t>1</w:t>
      </w:r>
      <w:r w:rsidR="00D80DD3">
        <w:rPr>
          <w:rFonts w:ascii="標楷體" w:eastAsia="標楷體" w:hAnsi="標楷體" w:cs="Arial"/>
          <w:color w:val="000000"/>
          <w:sz w:val="20"/>
        </w:rPr>
        <w:t>10</w:t>
      </w:r>
      <w:r w:rsidRPr="00356A36">
        <w:rPr>
          <w:rFonts w:ascii="標楷體" w:eastAsia="標楷體" w:hAnsi="標楷體" w:cs="Arial"/>
          <w:color w:val="000000"/>
          <w:sz w:val="20"/>
        </w:rPr>
        <w:t>學年度第2學期第(</w:t>
      </w:r>
      <w:r w:rsidR="00D80DD3">
        <w:rPr>
          <w:rFonts w:ascii="標楷體" w:eastAsia="標楷體" w:hAnsi="標楷體" w:cs="Arial"/>
          <w:color w:val="000000"/>
          <w:sz w:val="20"/>
        </w:rPr>
        <w:t xml:space="preserve"> </w:t>
      </w:r>
      <w:r w:rsidRPr="00356A36">
        <w:rPr>
          <w:rFonts w:ascii="標楷體" w:eastAsia="標楷體" w:hAnsi="標楷體" w:cs="Arial"/>
          <w:color w:val="000000"/>
          <w:sz w:val="20"/>
        </w:rPr>
        <w:t>)次(1</w:t>
      </w:r>
      <w:r w:rsidR="00D80DD3">
        <w:rPr>
          <w:rFonts w:ascii="標楷體" w:eastAsia="標楷體" w:hAnsi="標楷體" w:cs="Arial"/>
          <w:color w:val="000000"/>
          <w:sz w:val="20"/>
        </w:rPr>
        <w:t>1</w:t>
      </w:r>
      <w:r w:rsidR="00434782">
        <w:rPr>
          <w:rFonts w:ascii="標楷體" w:eastAsia="標楷體" w:hAnsi="標楷體" w:cs="Arial"/>
          <w:color w:val="000000"/>
          <w:sz w:val="20"/>
        </w:rPr>
        <w:t>1</w:t>
      </w:r>
      <w:r w:rsidRPr="00356A36">
        <w:rPr>
          <w:rFonts w:ascii="標楷體" w:eastAsia="標楷體" w:hAnsi="標楷體" w:cs="Arial"/>
          <w:color w:val="000000"/>
          <w:sz w:val="20"/>
        </w:rPr>
        <w:t>.</w:t>
      </w:r>
      <w:r w:rsidR="00BD73C5">
        <w:rPr>
          <w:rFonts w:ascii="標楷體" w:eastAsia="標楷體" w:hAnsi="標楷體" w:cs="Arial"/>
          <w:color w:val="000000"/>
          <w:sz w:val="20"/>
        </w:rPr>
        <w:t xml:space="preserve"> </w:t>
      </w:r>
      <w:r w:rsidR="00D80DD3">
        <w:rPr>
          <w:rFonts w:ascii="標楷體" w:eastAsia="標楷體" w:hAnsi="標楷體" w:cs="Arial"/>
          <w:color w:val="000000"/>
          <w:sz w:val="20"/>
        </w:rPr>
        <w:t xml:space="preserve"> </w:t>
      </w:r>
      <w:r w:rsidRPr="00356A36">
        <w:rPr>
          <w:rFonts w:ascii="標楷體" w:eastAsia="標楷體" w:hAnsi="標楷體" w:cs="Arial"/>
          <w:color w:val="000000"/>
          <w:sz w:val="20"/>
        </w:rPr>
        <w:t>.</w:t>
      </w:r>
      <w:r w:rsidR="00BD73C5">
        <w:rPr>
          <w:rFonts w:ascii="標楷體" w:eastAsia="標楷體" w:hAnsi="標楷體" w:cs="Arial"/>
          <w:color w:val="000000"/>
          <w:sz w:val="20"/>
        </w:rPr>
        <w:t xml:space="preserve"> </w:t>
      </w:r>
      <w:r w:rsidRPr="00356A36">
        <w:rPr>
          <w:rFonts w:ascii="標楷體" w:eastAsia="標楷體" w:hAnsi="標楷體" w:cs="Arial"/>
          <w:color w:val="000000"/>
          <w:sz w:val="20"/>
        </w:rPr>
        <w:t>)教務會議通過</w:t>
      </w:r>
    </w:p>
    <w:p w:rsidR="00356A36" w:rsidRPr="00356A36" w:rsidRDefault="00356A36" w:rsidP="00356A36">
      <w:pPr>
        <w:autoSpaceDE w:val="0"/>
        <w:autoSpaceDN w:val="0"/>
        <w:snapToGrid w:val="0"/>
        <w:spacing w:line="0" w:lineRule="atLeast"/>
        <w:jc w:val="right"/>
        <w:rPr>
          <w:rFonts w:ascii="標楷體" w:eastAsia="標楷體" w:hAnsi="標楷體" w:cs="Arial"/>
          <w:color w:val="000000"/>
          <w:sz w:val="20"/>
        </w:rPr>
      </w:pPr>
    </w:p>
    <w:p w:rsidR="00D80DD3" w:rsidRPr="00D80DD3" w:rsidRDefault="00D80DD3" w:rsidP="00D80DD3">
      <w:pPr>
        <w:adjustRightInd/>
        <w:spacing w:line="480" w:lineRule="exact"/>
        <w:textAlignment w:val="auto"/>
        <w:rPr>
          <w:rFonts w:ascii="標楷體" w:eastAsia="標楷體" w:hAnsi="標楷體" w:cs="Arial"/>
          <w:color w:val="222222"/>
        </w:rPr>
      </w:pPr>
      <w:r>
        <w:rPr>
          <w:rFonts w:ascii="標楷體" w:eastAsia="標楷體" w:hAnsi="標楷體" w:cs="Arial" w:hint="eastAsia"/>
          <w:color w:val="222222"/>
          <w:shd w:val="clear" w:color="auto" w:fill="FFFFFF"/>
        </w:rPr>
        <w:t>一、</w:t>
      </w:r>
      <w:r w:rsidRPr="00D80DD3">
        <w:rPr>
          <w:rFonts w:ascii="標楷體" w:eastAsia="標楷體" w:hAnsi="標楷體" w:cs="Arial" w:hint="eastAsia"/>
          <w:color w:val="222222"/>
          <w:shd w:val="clear" w:color="auto" w:fill="FFFFFF"/>
        </w:rPr>
        <w:t>教育目標：</w:t>
      </w:r>
      <w:r w:rsidRPr="00D80DD3">
        <w:rPr>
          <w:rFonts w:ascii="標楷體" w:eastAsia="標楷體" w:hAnsi="標楷體" w:cs="Arial" w:hint="eastAsia"/>
          <w:color w:val="222222"/>
        </w:rPr>
        <w:br/>
      </w:r>
      <w:r w:rsidRPr="00D80DD3">
        <w:rPr>
          <w:rFonts w:ascii="標楷體" w:eastAsia="標楷體" w:hAnsi="標楷體" w:cs="Arial" w:hint="eastAsia"/>
          <w:color w:val="222222"/>
          <w:shd w:val="clear" w:color="auto" w:fill="FFFFFF"/>
        </w:rPr>
        <w:t>培育具有休閒運動與觀光專業及管理能力兼具休閒運動指導與觀光管理整體概念之人才。</w:t>
      </w:r>
    </w:p>
    <w:p w:rsidR="00D80DD3" w:rsidRPr="00D80DD3" w:rsidRDefault="00D80DD3" w:rsidP="00D80DD3">
      <w:pPr>
        <w:adjustRightInd/>
        <w:spacing w:line="480" w:lineRule="exact"/>
        <w:textAlignment w:val="auto"/>
        <w:rPr>
          <w:rFonts w:ascii="標楷體" w:eastAsia="標楷體" w:hAnsi="標楷體" w:cs="Arial"/>
          <w:color w:val="222222"/>
        </w:rPr>
      </w:pPr>
      <w:r>
        <w:rPr>
          <w:rFonts w:ascii="標楷體" w:eastAsia="標楷體" w:hAnsi="標楷體" w:cs="Arial" w:hint="eastAsia"/>
          <w:color w:val="222222"/>
          <w:shd w:val="clear" w:color="auto" w:fill="FFFFFF"/>
        </w:rPr>
        <w:t>二、</w:t>
      </w:r>
      <w:r w:rsidRPr="00D80DD3">
        <w:rPr>
          <w:rFonts w:ascii="標楷體" w:eastAsia="標楷體" w:hAnsi="標楷體" w:cs="Arial" w:hint="eastAsia"/>
          <w:color w:val="222222"/>
          <w:shd w:val="clear" w:color="auto" w:fill="FFFFFF"/>
        </w:rPr>
        <w:t>核心能力：</w:t>
      </w:r>
      <w:r w:rsidRPr="00D80DD3">
        <w:rPr>
          <w:rFonts w:ascii="標楷體" w:eastAsia="標楷體" w:hAnsi="標楷體" w:cs="Arial" w:hint="eastAsia"/>
          <w:color w:val="222222"/>
        </w:rPr>
        <w:br/>
      </w:r>
      <w:r w:rsidRPr="00D80DD3">
        <w:rPr>
          <w:rFonts w:ascii="標楷體" w:eastAsia="標楷體" w:hAnsi="標楷體" w:cs="Arial" w:hint="eastAsia"/>
          <w:color w:val="222222"/>
          <w:shd w:val="clear" w:color="auto" w:fill="FFFFFF"/>
        </w:rPr>
        <w:t>(一)、培養口語表達與溝通協調能力。</w:t>
      </w:r>
      <w:r w:rsidRPr="00D80DD3">
        <w:rPr>
          <w:rFonts w:ascii="標楷體" w:eastAsia="標楷體" w:hAnsi="標楷體" w:cs="Arial" w:hint="eastAsia"/>
          <w:color w:val="222222"/>
        </w:rPr>
        <w:br/>
      </w:r>
      <w:r w:rsidRPr="00D80DD3">
        <w:rPr>
          <w:rFonts w:ascii="標楷體" w:eastAsia="標楷體" w:hAnsi="標楷體" w:cs="Arial" w:hint="eastAsia"/>
          <w:color w:val="222222"/>
          <w:shd w:val="clear" w:color="auto" w:fill="FFFFFF"/>
        </w:rPr>
        <w:t>(二)、培養休閒運動、觀光、實踐管理與專業知能。</w:t>
      </w:r>
      <w:r w:rsidRPr="00D80DD3">
        <w:rPr>
          <w:rFonts w:ascii="標楷體" w:eastAsia="標楷體" w:hAnsi="標楷體" w:cs="Arial" w:hint="eastAsia"/>
          <w:color w:val="222222"/>
        </w:rPr>
        <w:br/>
      </w:r>
      <w:r w:rsidRPr="00D80DD3">
        <w:rPr>
          <w:rFonts w:ascii="標楷體" w:eastAsia="標楷體" w:hAnsi="標楷體" w:cs="Arial" w:hint="eastAsia"/>
          <w:color w:val="222222"/>
          <w:shd w:val="clear" w:color="auto" w:fill="FFFFFF"/>
        </w:rPr>
        <w:t>(三)、具備休閒運動、觀光事業管理規劃與指導力。</w:t>
      </w:r>
      <w:r w:rsidRPr="00D80DD3">
        <w:rPr>
          <w:rFonts w:ascii="標楷體" w:eastAsia="標楷體" w:hAnsi="標楷體" w:cs="Arial" w:hint="eastAsia"/>
          <w:color w:val="222222"/>
        </w:rPr>
        <w:br/>
      </w:r>
      <w:r w:rsidRPr="00D80DD3">
        <w:rPr>
          <w:rFonts w:ascii="標楷體" w:eastAsia="標楷體" w:hAnsi="標楷體" w:cs="Arial" w:hint="eastAsia"/>
          <w:color w:val="222222"/>
          <w:shd w:val="clear" w:color="auto" w:fill="FFFFFF"/>
        </w:rPr>
        <w:t>(四)、具備休閒運動、觀光產業服務熱忱及經管能力。</w:t>
      </w:r>
      <w:r w:rsidRPr="00D80DD3">
        <w:rPr>
          <w:rFonts w:ascii="標楷體" w:eastAsia="標楷體" w:hAnsi="標楷體" w:cs="Arial" w:hint="eastAsia"/>
          <w:color w:val="222222"/>
        </w:rPr>
        <w:br/>
      </w:r>
      <w:r w:rsidRPr="00D80DD3">
        <w:rPr>
          <w:rFonts w:ascii="標楷體" w:eastAsia="標楷體" w:hAnsi="標楷體" w:cs="Arial" w:hint="eastAsia"/>
          <w:color w:val="222222"/>
          <w:shd w:val="clear" w:color="auto" w:fill="FFFFFF"/>
        </w:rPr>
        <w:t>(五)、能夠開發休閒運動與觀光產業市場及創新能力。</w:t>
      </w:r>
      <w:r w:rsidRPr="00D80DD3">
        <w:rPr>
          <w:rFonts w:ascii="標楷體" w:eastAsia="標楷體" w:hAnsi="標楷體" w:cs="Arial" w:hint="eastAsia"/>
          <w:color w:val="222222"/>
        </w:rPr>
        <w:br/>
      </w:r>
      <w:r w:rsidRPr="00D80DD3">
        <w:rPr>
          <w:rFonts w:ascii="標楷體" w:eastAsia="標楷體" w:hAnsi="標楷體" w:cs="Arial" w:hint="eastAsia"/>
          <w:color w:val="222222"/>
          <w:shd w:val="clear" w:color="auto" w:fill="FFFFFF"/>
        </w:rPr>
        <w:t>(六)、培養兼具國際視野與終身學習能力。</w:t>
      </w:r>
    </w:p>
    <w:p w:rsidR="00FD4404" w:rsidRPr="00D80DD3" w:rsidRDefault="00FD4404" w:rsidP="00D80DD3">
      <w:pPr>
        <w:adjustRightInd/>
        <w:spacing w:line="320" w:lineRule="exact"/>
        <w:ind w:left="480" w:hangingChars="200" w:hanging="480"/>
        <w:textAlignment w:val="auto"/>
        <w:rPr>
          <w:rFonts w:ascii="標楷體" w:eastAsia="標楷體" w:hAnsi="標楷體"/>
        </w:rPr>
      </w:pPr>
    </w:p>
    <w:sectPr w:rsidR="00FD4404" w:rsidRPr="00D80DD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69" w:rsidRDefault="004D0E69" w:rsidP="00D80DD3">
      <w:pPr>
        <w:spacing w:line="240" w:lineRule="auto"/>
      </w:pPr>
      <w:r>
        <w:separator/>
      </w:r>
    </w:p>
  </w:endnote>
  <w:endnote w:type="continuationSeparator" w:id="0">
    <w:p w:rsidR="004D0E69" w:rsidRDefault="004D0E69" w:rsidP="00D80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69" w:rsidRDefault="004D0E69" w:rsidP="00D80DD3">
      <w:pPr>
        <w:spacing w:line="240" w:lineRule="auto"/>
      </w:pPr>
      <w:r>
        <w:separator/>
      </w:r>
    </w:p>
  </w:footnote>
  <w:footnote w:type="continuationSeparator" w:id="0">
    <w:p w:rsidR="004D0E69" w:rsidRDefault="004D0E69" w:rsidP="00D80D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06C1"/>
    <w:multiLevelType w:val="hybridMultilevel"/>
    <w:tmpl w:val="9DA8AC30"/>
    <w:lvl w:ilvl="0" w:tplc="46DCC31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FDE1E13"/>
    <w:multiLevelType w:val="hybridMultilevel"/>
    <w:tmpl w:val="5D9CAAA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1048EF"/>
    <w:multiLevelType w:val="hybridMultilevel"/>
    <w:tmpl w:val="C2E449B6"/>
    <w:lvl w:ilvl="0" w:tplc="16A2A4F4">
      <w:start w:val="1"/>
      <w:numFmt w:val="decimal"/>
      <w:lvlText w:val="%1、"/>
      <w:lvlJc w:val="left"/>
      <w:pPr>
        <w:ind w:left="2285" w:hanging="360"/>
      </w:pPr>
    </w:lvl>
    <w:lvl w:ilvl="1" w:tplc="04090019">
      <w:start w:val="1"/>
      <w:numFmt w:val="ideographTraditional"/>
      <w:lvlText w:val="%2、"/>
      <w:lvlJc w:val="left"/>
      <w:pPr>
        <w:ind w:left="2885" w:hanging="480"/>
      </w:pPr>
    </w:lvl>
    <w:lvl w:ilvl="2" w:tplc="0409001B">
      <w:start w:val="1"/>
      <w:numFmt w:val="lowerRoman"/>
      <w:lvlText w:val="%3."/>
      <w:lvlJc w:val="right"/>
      <w:pPr>
        <w:ind w:left="3365" w:hanging="480"/>
      </w:pPr>
    </w:lvl>
    <w:lvl w:ilvl="3" w:tplc="0409000F">
      <w:start w:val="1"/>
      <w:numFmt w:val="decimal"/>
      <w:lvlText w:val="%4."/>
      <w:lvlJc w:val="left"/>
      <w:pPr>
        <w:ind w:left="3845" w:hanging="480"/>
      </w:pPr>
    </w:lvl>
    <w:lvl w:ilvl="4" w:tplc="04090019">
      <w:start w:val="1"/>
      <w:numFmt w:val="ideographTraditional"/>
      <w:lvlText w:val="%5、"/>
      <w:lvlJc w:val="left"/>
      <w:pPr>
        <w:ind w:left="4325" w:hanging="480"/>
      </w:pPr>
    </w:lvl>
    <w:lvl w:ilvl="5" w:tplc="0409001B">
      <w:start w:val="1"/>
      <w:numFmt w:val="lowerRoman"/>
      <w:lvlText w:val="%6."/>
      <w:lvlJc w:val="right"/>
      <w:pPr>
        <w:ind w:left="4805" w:hanging="480"/>
      </w:pPr>
    </w:lvl>
    <w:lvl w:ilvl="6" w:tplc="0409000F">
      <w:start w:val="1"/>
      <w:numFmt w:val="decimal"/>
      <w:lvlText w:val="%7."/>
      <w:lvlJc w:val="left"/>
      <w:pPr>
        <w:ind w:left="5285" w:hanging="480"/>
      </w:pPr>
    </w:lvl>
    <w:lvl w:ilvl="7" w:tplc="04090019">
      <w:start w:val="1"/>
      <w:numFmt w:val="ideographTraditional"/>
      <w:lvlText w:val="%8、"/>
      <w:lvlJc w:val="left"/>
      <w:pPr>
        <w:ind w:left="5765" w:hanging="480"/>
      </w:pPr>
    </w:lvl>
    <w:lvl w:ilvl="8" w:tplc="0409001B">
      <w:start w:val="1"/>
      <w:numFmt w:val="lowerRoman"/>
      <w:lvlText w:val="%9."/>
      <w:lvlJc w:val="right"/>
      <w:pPr>
        <w:ind w:left="6245" w:hanging="4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36"/>
    <w:rsid w:val="002303A0"/>
    <w:rsid w:val="00253FFE"/>
    <w:rsid w:val="00356A36"/>
    <w:rsid w:val="00434782"/>
    <w:rsid w:val="004D0E69"/>
    <w:rsid w:val="006C38DC"/>
    <w:rsid w:val="007721B5"/>
    <w:rsid w:val="00962710"/>
    <w:rsid w:val="00A4150A"/>
    <w:rsid w:val="00BD73C5"/>
    <w:rsid w:val="00C21115"/>
    <w:rsid w:val="00C67D53"/>
    <w:rsid w:val="00D80DD3"/>
    <w:rsid w:val="00FD4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8016"/>
  <w15:docId w15:val="{A694588E-EA9B-450B-A458-05C79E9F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A36"/>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A36"/>
    <w:pPr>
      <w:ind w:leftChars="200" w:left="480"/>
    </w:pPr>
  </w:style>
  <w:style w:type="paragraph" w:styleId="a4">
    <w:name w:val="header"/>
    <w:basedOn w:val="a"/>
    <w:link w:val="a5"/>
    <w:uiPriority w:val="99"/>
    <w:unhideWhenUsed/>
    <w:rsid w:val="00D80DD3"/>
    <w:pPr>
      <w:tabs>
        <w:tab w:val="center" w:pos="4153"/>
        <w:tab w:val="right" w:pos="8306"/>
      </w:tabs>
      <w:snapToGrid w:val="0"/>
    </w:pPr>
    <w:rPr>
      <w:sz w:val="20"/>
    </w:rPr>
  </w:style>
  <w:style w:type="character" w:customStyle="1" w:styleId="a5">
    <w:name w:val="頁首 字元"/>
    <w:basedOn w:val="a0"/>
    <w:link w:val="a4"/>
    <w:uiPriority w:val="99"/>
    <w:rsid w:val="00D80DD3"/>
    <w:rPr>
      <w:rFonts w:ascii="Times New Roman" w:eastAsia="新細明體" w:hAnsi="Times New Roman" w:cs="Times New Roman"/>
      <w:kern w:val="0"/>
      <w:sz w:val="20"/>
      <w:szCs w:val="20"/>
    </w:rPr>
  </w:style>
  <w:style w:type="paragraph" w:styleId="a6">
    <w:name w:val="footer"/>
    <w:basedOn w:val="a"/>
    <w:link w:val="a7"/>
    <w:uiPriority w:val="99"/>
    <w:unhideWhenUsed/>
    <w:rsid w:val="00D80DD3"/>
    <w:pPr>
      <w:tabs>
        <w:tab w:val="center" w:pos="4153"/>
        <w:tab w:val="right" w:pos="8306"/>
      </w:tabs>
      <w:snapToGrid w:val="0"/>
    </w:pPr>
    <w:rPr>
      <w:sz w:val="20"/>
    </w:rPr>
  </w:style>
  <w:style w:type="character" w:customStyle="1" w:styleId="a7">
    <w:name w:val="頁尾 字元"/>
    <w:basedOn w:val="a0"/>
    <w:link w:val="a6"/>
    <w:uiPriority w:val="99"/>
    <w:rsid w:val="00D80DD3"/>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43478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478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2022-05-09T03:07:00Z</cp:lastPrinted>
  <dcterms:created xsi:type="dcterms:W3CDTF">2022-04-28T00:12:00Z</dcterms:created>
  <dcterms:modified xsi:type="dcterms:W3CDTF">2022-05-10T03:16:00Z</dcterms:modified>
</cp:coreProperties>
</file>